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6" w:rsidRPr="00442F39" w:rsidRDefault="00D22286" w:rsidP="00D22286">
      <w:pPr>
        <w:spacing w:line="360" w:lineRule="auto"/>
        <w:rPr>
          <w:szCs w:val="21"/>
          <w:u w:val="single"/>
        </w:rPr>
      </w:pPr>
      <w:bookmarkStart w:id="0" w:name="OLE_LINK9"/>
      <w:bookmarkStart w:id="1" w:name="OLE_LINK16"/>
      <w:bookmarkStart w:id="2" w:name="_GoBack"/>
      <w:bookmarkEnd w:id="2"/>
      <w:r w:rsidRPr="00442F39">
        <w:rPr>
          <w:szCs w:val="21"/>
        </w:rPr>
        <w:t xml:space="preserve">Middle Paleozoic convergent </w:t>
      </w:r>
      <w:proofErr w:type="spellStart"/>
      <w:r w:rsidRPr="00442F39">
        <w:rPr>
          <w:szCs w:val="21"/>
        </w:rPr>
        <w:t>orogenic</w:t>
      </w:r>
      <w:proofErr w:type="spellEnd"/>
      <w:r w:rsidRPr="00442F39">
        <w:rPr>
          <w:szCs w:val="21"/>
        </w:rPr>
        <w:t xml:space="preserve"> belts in western Inner Mongolia (</w:t>
      </w:r>
      <w:smartTag w:uri="urn:schemas-microsoft-com:office:smarttags" w:element="place">
        <w:smartTag w:uri="urn:schemas-microsoft-com:office:smarttags" w:element="country-region">
          <w:r w:rsidRPr="00442F39">
            <w:rPr>
              <w:szCs w:val="21"/>
            </w:rPr>
            <w:t>China</w:t>
          </w:r>
        </w:smartTag>
      </w:smartTag>
      <w:r w:rsidRPr="00442F39">
        <w:rPr>
          <w:szCs w:val="21"/>
        </w:rPr>
        <w:t xml:space="preserve">): framework, kinematics, geochronology and implications for tectonic evolution of the Central Asian </w:t>
      </w:r>
      <w:proofErr w:type="spellStart"/>
      <w:r w:rsidRPr="00442F39">
        <w:rPr>
          <w:szCs w:val="21"/>
        </w:rPr>
        <w:t>Orogenic</w:t>
      </w:r>
      <w:proofErr w:type="spellEnd"/>
      <w:r w:rsidRPr="00442F39">
        <w:rPr>
          <w:szCs w:val="21"/>
        </w:rPr>
        <w:t xml:space="preserve"> Belt</w:t>
      </w:r>
      <w:r w:rsidRPr="00442F39" w:rsidDel="00E053C0">
        <w:rPr>
          <w:szCs w:val="21"/>
        </w:rPr>
        <w:t xml:space="preserve"> </w:t>
      </w:r>
    </w:p>
    <w:p w:rsidR="00D22286" w:rsidRDefault="00D22286" w:rsidP="00D2228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Cs/>
        </w:rPr>
      </w:pPr>
    </w:p>
    <w:p w:rsidR="00D22286" w:rsidRPr="00442F39" w:rsidRDefault="00D22286" w:rsidP="00D2228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Cs/>
          <w:sz w:val="21"/>
          <w:szCs w:val="21"/>
        </w:rPr>
      </w:pPr>
      <w:proofErr w:type="spellStart"/>
      <w:r w:rsidRPr="00442F39">
        <w:rPr>
          <w:rFonts w:ascii="Times New Roman" w:hAnsi="Times New Roman"/>
          <w:bCs/>
          <w:sz w:val="21"/>
          <w:szCs w:val="21"/>
        </w:rPr>
        <w:t>Bei</w:t>
      </w:r>
      <w:proofErr w:type="spellEnd"/>
      <w:r w:rsidRPr="00442F39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Pr="00442F39">
        <w:rPr>
          <w:rFonts w:ascii="Times New Roman" w:hAnsi="Times New Roman"/>
          <w:bCs/>
          <w:sz w:val="21"/>
          <w:szCs w:val="21"/>
        </w:rPr>
        <w:t>Xu</w:t>
      </w:r>
      <w:r w:rsidRPr="00442F39">
        <w:rPr>
          <w:rFonts w:ascii="Times New Roman" w:hAnsi="Times New Roman"/>
          <w:bCs/>
          <w:sz w:val="21"/>
          <w:szCs w:val="21"/>
          <w:vertAlign w:val="superscript"/>
        </w:rPr>
        <w:t>a</w:t>
      </w:r>
      <w:proofErr w:type="spellEnd"/>
      <w:r w:rsidRPr="00442F39">
        <w:rPr>
          <w:rFonts w:ascii="Times New Roman" w:hAnsi="Times New Roman"/>
          <w:bCs/>
          <w:sz w:val="21"/>
          <w:szCs w:val="21"/>
        </w:rPr>
        <w:t xml:space="preserve">, </w:t>
      </w:r>
      <w:r w:rsidRPr="00442F39">
        <w:rPr>
          <w:rFonts w:ascii="Times New Roman" w:hAnsi="Times New Roman" w:hint="eastAsia"/>
          <w:bCs/>
          <w:sz w:val="21"/>
          <w:szCs w:val="21"/>
        </w:rPr>
        <w:t>Jacques</w:t>
      </w:r>
      <w:r w:rsidRPr="00442F39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Pr="00442F39">
        <w:rPr>
          <w:rFonts w:ascii="Times New Roman" w:hAnsi="Times New Roman" w:hint="eastAsia"/>
          <w:bCs/>
          <w:sz w:val="21"/>
          <w:szCs w:val="21"/>
        </w:rPr>
        <w:t>Charvet</w:t>
      </w:r>
      <w:r w:rsidRPr="00442F39">
        <w:rPr>
          <w:rFonts w:ascii="Times New Roman" w:hAnsi="Times New Roman"/>
          <w:bCs/>
          <w:sz w:val="21"/>
          <w:szCs w:val="21"/>
          <w:vertAlign w:val="superscript"/>
        </w:rPr>
        <w:t>b</w:t>
      </w:r>
      <w:proofErr w:type="spellEnd"/>
      <w:r w:rsidRPr="00442F39">
        <w:rPr>
          <w:rFonts w:ascii="Times New Roman" w:hAnsi="Times New Roman"/>
          <w:bCs/>
          <w:sz w:val="21"/>
          <w:szCs w:val="21"/>
        </w:rPr>
        <w:t xml:space="preserve">, Yan </w:t>
      </w:r>
      <w:proofErr w:type="spellStart"/>
      <w:r w:rsidRPr="00442F39">
        <w:rPr>
          <w:rFonts w:ascii="Times New Roman" w:hAnsi="Times New Roman"/>
          <w:bCs/>
          <w:sz w:val="21"/>
          <w:szCs w:val="21"/>
        </w:rPr>
        <w:t>Chen</w:t>
      </w:r>
      <w:r w:rsidRPr="00442F39">
        <w:rPr>
          <w:rFonts w:ascii="Times New Roman" w:hAnsi="Times New Roman" w:hint="eastAsia"/>
          <w:bCs/>
          <w:sz w:val="21"/>
          <w:szCs w:val="21"/>
          <w:vertAlign w:val="superscript"/>
        </w:rPr>
        <w:t>b</w:t>
      </w:r>
      <w:proofErr w:type="spellEnd"/>
      <w:r w:rsidRPr="00442F39">
        <w:rPr>
          <w:rFonts w:ascii="Times New Roman" w:hAnsi="Times New Roman"/>
          <w:bCs/>
          <w:sz w:val="21"/>
          <w:szCs w:val="21"/>
        </w:rPr>
        <w:t xml:space="preserve">, </w:t>
      </w:r>
      <w:r w:rsidRPr="00442F39">
        <w:rPr>
          <w:rFonts w:ascii="Times New Roman" w:hAnsi="Times New Roman" w:hint="eastAsia"/>
          <w:bCs/>
          <w:sz w:val="21"/>
          <w:szCs w:val="21"/>
        </w:rPr>
        <w:t xml:space="preserve">Pan </w:t>
      </w:r>
      <w:proofErr w:type="spellStart"/>
      <w:r w:rsidRPr="00442F39">
        <w:rPr>
          <w:rFonts w:ascii="Times New Roman" w:hAnsi="Times New Roman" w:hint="eastAsia"/>
          <w:bCs/>
          <w:sz w:val="21"/>
          <w:szCs w:val="21"/>
        </w:rPr>
        <w:t>Zhao</w:t>
      </w:r>
      <w:r w:rsidRPr="00442F39">
        <w:rPr>
          <w:rFonts w:ascii="Times New Roman" w:hAnsi="Times New Roman" w:hint="eastAsia"/>
          <w:bCs/>
          <w:sz w:val="21"/>
          <w:szCs w:val="21"/>
          <w:vertAlign w:val="superscript"/>
        </w:rPr>
        <w:t>a</w:t>
      </w:r>
      <w:proofErr w:type="spellEnd"/>
      <w:r w:rsidRPr="00442F39">
        <w:rPr>
          <w:rFonts w:ascii="Times New Roman" w:hAnsi="Times New Roman"/>
          <w:bCs/>
          <w:sz w:val="21"/>
          <w:szCs w:val="21"/>
        </w:rPr>
        <w:t xml:space="preserve">, </w:t>
      </w:r>
      <w:proofErr w:type="spellStart"/>
      <w:r w:rsidRPr="00442F39">
        <w:rPr>
          <w:rFonts w:ascii="Times New Roman" w:hAnsi="Times New Roman" w:hint="eastAsia"/>
          <w:bCs/>
          <w:sz w:val="21"/>
          <w:szCs w:val="21"/>
        </w:rPr>
        <w:t>Guanzhong</w:t>
      </w:r>
      <w:proofErr w:type="spellEnd"/>
      <w:r w:rsidRPr="00442F39">
        <w:rPr>
          <w:rFonts w:ascii="Times New Roman" w:hAnsi="Times New Roman" w:hint="eastAsia"/>
          <w:bCs/>
          <w:sz w:val="21"/>
          <w:szCs w:val="21"/>
        </w:rPr>
        <w:t xml:space="preserve"> Shi</w:t>
      </w:r>
      <w:r w:rsidRPr="00442F39">
        <w:rPr>
          <w:rFonts w:ascii="Times New Roman" w:hAnsi="Times New Roman" w:hint="eastAsia"/>
          <w:bCs/>
          <w:sz w:val="21"/>
          <w:szCs w:val="21"/>
          <w:vertAlign w:val="superscript"/>
        </w:rPr>
        <w:t>a</w:t>
      </w:r>
      <w:r w:rsidRPr="00442F39">
        <w:rPr>
          <w:rFonts w:ascii="Times New Roman" w:hAnsi="Times New Roman"/>
          <w:bCs/>
          <w:sz w:val="21"/>
          <w:szCs w:val="21"/>
        </w:rPr>
        <w:t xml:space="preserve"> </w:t>
      </w:r>
    </w:p>
    <w:p w:rsidR="00D22286" w:rsidRPr="00442F39" w:rsidRDefault="00D22286" w:rsidP="00D2228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1"/>
          <w:szCs w:val="21"/>
        </w:rPr>
      </w:pPr>
    </w:p>
    <w:p w:rsidR="00D22286" w:rsidRPr="00442F39" w:rsidRDefault="00D22286" w:rsidP="00D2228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1"/>
          <w:szCs w:val="21"/>
          <w:lang w:val="en-AU"/>
        </w:rPr>
      </w:pPr>
      <w:r w:rsidRPr="00442F39">
        <w:rPr>
          <w:rFonts w:ascii="Times New Roman" w:hAnsi="Times New Roman"/>
          <w:bCs/>
          <w:sz w:val="21"/>
          <w:szCs w:val="21"/>
          <w:vertAlign w:val="superscript"/>
          <w:lang w:val="en-AU"/>
        </w:rPr>
        <w:t xml:space="preserve">a </w:t>
      </w:r>
      <w:r w:rsidRPr="00442F39">
        <w:rPr>
          <w:rFonts w:ascii="Times New Roman" w:hAnsi="Times New Roman"/>
          <w:sz w:val="21"/>
          <w:szCs w:val="21"/>
          <w:lang w:val="en-AU"/>
        </w:rPr>
        <w:t xml:space="preserve">Key Laboratory of </w:t>
      </w:r>
      <w:proofErr w:type="spellStart"/>
      <w:r w:rsidRPr="00442F39">
        <w:rPr>
          <w:rFonts w:ascii="Times New Roman" w:hAnsi="Times New Roman"/>
          <w:sz w:val="21"/>
          <w:szCs w:val="21"/>
          <w:lang w:val="en-AU"/>
        </w:rPr>
        <w:t>Orogenic</w:t>
      </w:r>
      <w:proofErr w:type="spellEnd"/>
      <w:r w:rsidRPr="00442F39">
        <w:rPr>
          <w:rFonts w:ascii="Times New Roman" w:hAnsi="Times New Roman"/>
          <w:sz w:val="21"/>
          <w:szCs w:val="21"/>
          <w:lang w:val="en-AU"/>
        </w:rPr>
        <w:t xml:space="preserve"> Belts and Crustal Evolution, Ministry of Education, </w:t>
      </w:r>
      <w:smartTag w:uri="urn:schemas-microsoft-com:office:smarttags" w:element="PlaceName">
        <w:r w:rsidRPr="00442F39">
          <w:rPr>
            <w:rFonts w:ascii="Times New Roman" w:hAnsi="Times New Roman"/>
            <w:sz w:val="21"/>
            <w:szCs w:val="21"/>
            <w:lang w:val="en-AU"/>
          </w:rPr>
          <w:t>Peking</w:t>
        </w:r>
      </w:smartTag>
      <w:r w:rsidRPr="00442F39">
        <w:rPr>
          <w:rFonts w:ascii="Times New Roman" w:hAnsi="Times New Roman"/>
          <w:sz w:val="21"/>
          <w:szCs w:val="21"/>
          <w:lang w:val="en-AU"/>
        </w:rPr>
        <w:t xml:space="preserve"> </w:t>
      </w:r>
      <w:smartTag w:uri="urn:schemas-microsoft-com:office:smarttags" w:element="PlaceType">
        <w:r w:rsidRPr="00442F39">
          <w:rPr>
            <w:rFonts w:ascii="Times New Roman" w:hAnsi="Times New Roman"/>
            <w:sz w:val="21"/>
            <w:szCs w:val="21"/>
            <w:lang w:val="en-AU"/>
          </w:rPr>
          <w:t>University</w:t>
        </w:r>
      </w:smartTag>
      <w:r w:rsidRPr="00442F39">
        <w:rPr>
          <w:rFonts w:ascii="Times New Roman" w:hAnsi="Times New Roman"/>
          <w:sz w:val="21"/>
          <w:szCs w:val="21"/>
          <w:lang w:val="en-AU"/>
        </w:rPr>
        <w:t xml:space="preserve">, </w:t>
      </w:r>
      <w:smartTag w:uri="urn:schemas-microsoft-com:office:smarttags" w:element="City">
        <w:r w:rsidRPr="00442F39">
          <w:rPr>
            <w:rFonts w:ascii="Times New Roman" w:hAnsi="Times New Roman"/>
            <w:sz w:val="21"/>
            <w:szCs w:val="21"/>
            <w:lang w:val="en-AU"/>
          </w:rPr>
          <w:t>Beijing</w:t>
        </w:r>
      </w:smartTag>
      <w:r w:rsidRPr="00442F39">
        <w:rPr>
          <w:rFonts w:ascii="Times New Roman" w:hAnsi="Times New Roman"/>
          <w:sz w:val="21"/>
          <w:szCs w:val="21"/>
          <w:lang w:val="en-AU"/>
        </w:rPr>
        <w:t xml:space="preserve">, 100871, </w:t>
      </w:r>
      <w:smartTag w:uri="urn:schemas-microsoft-com:office:smarttags" w:element="place">
        <w:smartTag w:uri="urn:schemas-microsoft-com:office:smarttags" w:element="country-region">
          <w:r w:rsidRPr="00442F39">
            <w:rPr>
              <w:rFonts w:ascii="Times New Roman" w:hAnsi="Times New Roman"/>
              <w:sz w:val="21"/>
              <w:szCs w:val="21"/>
              <w:lang w:val="en-AU"/>
            </w:rPr>
            <w:t>China</w:t>
          </w:r>
        </w:smartTag>
      </w:smartTag>
    </w:p>
    <w:p w:rsidR="00D22286" w:rsidRPr="00442F39" w:rsidRDefault="00D22286" w:rsidP="00D2228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1"/>
          <w:szCs w:val="21"/>
          <w:lang w:val="fr-FR"/>
        </w:rPr>
      </w:pPr>
      <w:r w:rsidRPr="00442F39">
        <w:rPr>
          <w:rFonts w:ascii="Times New Roman" w:hAnsi="Times New Roman"/>
          <w:bCs/>
          <w:sz w:val="21"/>
          <w:szCs w:val="21"/>
          <w:vertAlign w:val="superscript"/>
          <w:lang w:val="fr-FR"/>
        </w:rPr>
        <w:t xml:space="preserve">b </w:t>
      </w:r>
      <w:r w:rsidRPr="00442F39">
        <w:rPr>
          <w:rFonts w:ascii="Times New Roman" w:hAnsi="Times New Roman"/>
          <w:sz w:val="21"/>
          <w:szCs w:val="21"/>
          <w:lang w:val="fr-FR"/>
        </w:rPr>
        <w:t xml:space="preserve">Institut des Sciences de </w:t>
      </w:r>
      <w:smartTag w:uri="urn:schemas-microsoft-com:office:smarttags" w:element="PersonName">
        <w:smartTagPr>
          <w:attr w:name="ProductID" w:val="la Terre"/>
        </w:smartTagPr>
        <w:r w:rsidRPr="00442F39">
          <w:rPr>
            <w:rFonts w:ascii="Times New Roman" w:hAnsi="Times New Roman"/>
            <w:sz w:val="21"/>
            <w:szCs w:val="21"/>
            <w:lang w:val="fr-FR"/>
          </w:rPr>
          <w:t>la Terre</w:t>
        </w:r>
      </w:smartTag>
      <w:r w:rsidRPr="00442F39">
        <w:rPr>
          <w:rFonts w:ascii="Times New Roman" w:hAnsi="Times New Roman"/>
          <w:sz w:val="21"/>
          <w:szCs w:val="21"/>
          <w:lang w:val="fr-FR"/>
        </w:rPr>
        <w:t xml:space="preserve"> d’Orléans, UMR 6113 Université d’Orléans-INSU/CNRS, </w:t>
      </w:r>
    </w:p>
    <w:p w:rsidR="00D22286" w:rsidRPr="00837B16" w:rsidRDefault="00D22286" w:rsidP="00D2228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Cs/>
          <w:lang w:val="fr-FR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442F39">
          <w:rPr>
            <w:rFonts w:ascii="Times New Roman" w:hAnsi="Times New Roman"/>
            <w:sz w:val="21"/>
            <w:szCs w:val="21"/>
            <w:lang w:val="fr-FR"/>
          </w:rPr>
          <w:t>1A</w:t>
        </w:r>
      </w:smartTag>
      <w:r w:rsidRPr="00442F39">
        <w:rPr>
          <w:rFonts w:ascii="Times New Roman" w:hAnsi="Times New Roman"/>
          <w:sz w:val="21"/>
          <w:szCs w:val="21"/>
          <w:lang w:val="fr-FR"/>
        </w:rPr>
        <w:t xml:space="preserve"> rue de </w:t>
      </w:r>
      <w:smartTag w:uri="urn:schemas-microsoft-com:office:smarttags" w:element="PersonName">
        <w:smartTagPr>
          <w:attr w:name="ProductID" w:val="la F￩rollerie"/>
        </w:smartTagPr>
        <w:r w:rsidRPr="00442F39">
          <w:rPr>
            <w:rFonts w:ascii="Times New Roman" w:hAnsi="Times New Roman"/>
            <w:sz w:val="21"/>
            <w:szCs w:val="21"/>
            <w:lang w:val="fr-FR"/>
          </w:rPr>
          <w:t xml:space="preserve">la </w:t>
        </w:r>
        <w:proofErr w:type="spellStart"/>
        <w:r w:rsidRPr="00442F39">
          <w:rPr>
            <w:rFonts w:ascii="Times New Roman" w:hAnsi="Times New Roman"/>
            <w:sz w:val="21"/>
            <w:szCs w:val="21"/>
            <w:lang w:val="fr-FR"/>
          </w:rPr>
          <w:t>Férollerie</w:t>
        </w:r>
      </w:smartTag>
      <w:proofErr w:type="spellEnd"/>
      <w:r w:rsidRPr="00442F39">
        <w:rPr>
          <w:rFonts w:ascii="Times New Roman" w:hAnsi="Times New Roman"/>
          <w:sz w:val="21"/>
          <w:szCs w:val="21"/>
          <w:lang w:val="fr-FR"/>
        </w:rPr>
        <w:t>, 45071 Orléans, Cedex 2, France</w:t>
      </w:r>
      <w:r w:rsidRPr="00442F39" w:rsidDel="005509E5">
        <w:rPr>
          <w:rFonts w:ascii="Times New Roman" w:hAnsi="Times New Roman"/>
          <w:sz w:val="21"/>
          <w:szCs w:val="21"/>
          <w:lang w:val="fr-FR"/>
        </w:rPr>
        <w:t xml:space="preserve"> </w:t>
      </w:r>
      <w:r w:rsidRPr="00837B16">
        <w:rPr>
          <w:rFonts w:ascii="Times New Roman" w:hAnsi="Times New Roman"/>
          <w:sz w:val="21"/>
          <w:lang w:val="fr-FR"/>
        </w:rPr>
        <w:t xml:space="preserve"> </w:t>
      </w:r>
    </w:p>
    <w:p w:rsidR="00D22286" w:rsidRPr="00837B16" w:rsidRDefault="00D22286" w:rsidP="00D22286">
      <w:pPr>
        <w:spacing w:line="360" w:lineRule="auto"/>
        <w:rPr>
          <w:lang w:val="fr-FR"/>
        </w:rPr>
      </w:pPr>
    </w:p>
    <w:p w:rsidR="00D22286" w:rsidRPr="00CC31C1" w:rsidRDefault="00D22286" w:rsidP="00D22286">
      <w:pPr>
        <w:spacing w:line="360" w:lineRule="auto"/>
      </w:pPr>
      <w:r w:rsidRPr="00CC31C1">
        <w:rPr>
          <w:rFonts w:hint="eastAsia"/>
        </w:rPr>
        <w:t xml:space="preserve">Abstract </w:t>
      </w:r>
    </w:p>
    <w:p w:rsidR="00D22286" w:rsidRPr="00C03112" w:rsidRDefault="00D22286" w:rsidP="00D22286">
      <w:pPr>
        <w:spacing w:line="360" w:lineRule="auto"/>
        <w:ind w:firstLineChars="250" w:firstLine="525"/>
      </w:pPr>
      <w:r w:rsidRPr="00CC31C1">
        <w:rPr>
          <w:rFonts w:hint="eastAsia"/>
        </w:rPr>
        <w:t xml:space="preserve">Based mainly on field geological observation and </w:t>
      </w:r>
      <w:proofErr w:type="spellStart"/>
      <w:r w:rsidRPr="00CC31C1">
        <w:rPr>
          <w:rFonts w:hint="eastAsia"/>
        </w:rPr>
        <w:t>geo</w:t>
      </w:r>
      <w:r>
        <w:rPr>
          <w:rFonts w:hint="eastAsia"/>
        </w:rPr>
        <w:t>chronolog</w:t>
      </w:r>
      <w:r>
        <w:t>ic</w:t>
      </w:r>
      <w:proofErr w:type="spellEnd"/>
      <w:r w:rsidRPr="00CC31C1">
        <w:rPr>
          <w:rFonts w:hint="eastAsia"/>
        </w:rPr>
        <w:t xml:space="preserve"> data, six tectonic units have been recognized in western Inner Mongolia </w:t>
      </w:r>
      <w:r w:rsidRPr="00CC31C1">
        <w:t>(</w:t>
      </w:r>
      <w:r>
        <w:rPr>
          <w:rFonts w:hint="eastAsia"/>
        </w:rPr>
        <w:t>China</w:t>
      </w:r>
      <w:r>
        <w:t>)</w:t>
      </w:r>
      <w:r>
        <w:rPr>
          <w:rFonts w:hint="eastAsia"/>
        </w:rPr>
        <w:t xml:space="preserve">, </w:t>
      </w:r>
      <w:r w:rsidRPr="00CC31C1">
        <w:rPr>
          <w:rFonts w:hint="eastAsia"/>
        </w:rPr>
        <w:t>including, from south to north</w:t>
      </w:r>
      <w:r>
        <w:t>:</w:t>
      </w:r>
      <w:r w:rsidRPr="00CC31C1">
        <w:rPr>
          <w:rFonts w:hint="eastAsia"/>
        </w:rPr>
        <w:t xml:space="preserve"> </w:t>
      </w:r>
      <w:r w:rsidRPr="00B16C8F">
        <w:t xml:space="preserve">North China </w:t>
      </w:r>
      <w:proofErr w:type="spellStart"/>
      <w:r w:rsidRPr="00B16C8F">
        <w:t>Craton</w:t>
      </w:r>
      <w:proofErr w:type="spellEnd"/>
      <w:r w:rsidRPr="00B16C8F">
        <w:t xml:space="preserve"> (</w:t>
      </w:r>
      <w:r w:rsidRPr="00B16C8F">
        <w:rPr>
          <w:rFonts w:hint="eastAsia"/>
        </w:rPr>
        <w:t>NCC</w:t>
      </w:r>
      <w:r w:rsidRPr="00B16C8F">
        <w:t>)</w:t>
      </w:r>
      <w:r w:rsidRPr="00B16C8F">
        <w:rPr>
          <w:rFonts w:hint="eastAsia"/>
        </w:rPr>
        <w:t xml:space="preserve">, </w:t>
      </w:r>
      <w:r w:rsidRPr="00B16C8F">
        <w:t xml:space="preserve">Southern </w:t>
      </w:r>
      <w:proofErr w:type="spellStart"/>
      <w:r w:rsidRPr="00B16C8F">
        <w:t>Orogenic</w:t>
      </w:r>
      <w:proofErr w:type="spellEnd"/>
      <w:r w:rsidRPr="00B16C8F">
        <w:t xml:space="preserve"> Belt (</w:t>
      </w:r>
      <w:r w:rsidRPr="00B16C8F">
        <w:rPr>
          <w:rFonts w:hint="eastAsia"/>
        </w:rPr>
        <w:t>SOB</w:t>
      </w:r>
      <w:r w:rsidRPr="00B16C8F">
        <w:t>)</w:t>
      </w:r>
      <w:r w:rsidRPr="00B16C8F">
        <w:rPr>
          <w:rFonts w:hint="eastAsia"/>
        </w:rPr>
        <w:t xml:space="preserve">, </w:t>
      </w:r>
      <w:proofErr w:type="spellStart"/>
      <w:r>
        <w:rPr>
          <w:rFonts w:hint="eastAsia"/>
        </w:rPr>
        <w:t>Hunshandake</w:t>
      </w:r>
      <w:proofErr w:type="spellEnd"/>
      <w:r w:rsidRPr="00B16C8F">
        <w:t xml:space="preserve"> Block (</w:t>
      </w:r>
      <w:r>
        <w:rPr>
          <w:rFonts w:hint="eastAsia"/>
        </w:rPr>
        <w:t>H</w:t>
      </w:r>
      <w:r w:rsidRPr="00B16C8F">
        <w:rPr>
          <w:rFonts w:hint="eastAsia"/>
        </w:rPr>
        <w:t>B</w:t>
      </w:r>
      <w:r w:rsidRPr="00B16C8F">
        <w:t>)</w:t>
      </w:r>
      <w:r w:rsidRPr="00B16C8F">
        <w:rPr>
          <w:rFonts w:hint="eastAsia"/>
        </w:rPr>
        <w:t xml:space="preserve">, </w:t>
      </w:r>
      <w:r w:rsidRPr="00B16C8F">
        <w:t xml:space="preserve">Northern </w:t>
      </w:r>
      <w:proofErr w:type="spellStart"/>
      <w:r w:rsidRPr="00B16C8F">
        <w:t>Orogenic</w:t>
      </w:r>
      <w:proofErr w:type="spellEnd"/>
      <w:r>
        <w:t xml:space="preserve"> Belt (</w:t>
      </w:r>
      <w:r w:rsidRPr="00CC31C1">
        <w:rPr>
          <w:rFonts w:hint="eastAsia"/>
        </w:rPr>
        <w:t>NOB</w:t>
      </w:r>
      <w:r>
        <w:t>)</w:t>
      </w:r>
      <w:r w:rsidRPr="00CC31C1">
        <w:rPr>
          <w:rFonts w:hint="eastAsia"/>
        </w:rPr>
        <w:t xml:space="preserve">, </w:t>
      </w:r>
      <w:r>
        <w:t xml:space="preserve">South Mongolia </w:t>
      </w:r>
      <w:proofErr w:type="spellStart"/>
      <w:r>
        <w:t>microcontinent</w:t>
      </w:r>
      <w:proofErr w:type="spellEnd"/>
      <w:r>
        <w:t xml:space="preserve"> (</w:t>
      </w:r>
      <w:r w:rsidRPr="00CC31C1">
        <w:rPr>
          <w:rFonts w:hint="eastAsia"/>
        </w:rPr>
        <w:t>SMM</w:t>
      </w:r>
      <w:r>
        <w:t>),</w:t>
      </w:r>
      <w:r w:rsidRPr="00CC31C1">
        <w:rPr>
          <w:rFonts w:hint="eastAsia"/>
        </w:rPr>
        <w:t xml:space="preserve"> and </w:t>
      </w:r>
      <w:r>
        <w:t>Southern margin of Ergun Block (</w:t>
      </w:r>
      <w:r w:rsidRPr="00CC31C1">
        <w:rPr>
          <w:rFonts w:hint="eastAsia"/>
        </w:rPr>
        <w:t>SME</w:t>
      </w:r>
      <w:r>
        <w:t>)</w:t>
      </w:r>
      <w:r w:rsidRPr="00CC31C1">
        <w:rPr>
          <w:rFonts w:hint="eastAsia"/>
        </w:rPr>
        <w:t>,</w:t>
      </w:r>
      <w:r w:rsidRPr="00CC31C1">
        <w:t xml:space="preserve"> </w:t>
      </w:r>
      <w:r>
        <w:rPr>
          <w:rFonts w:hint="eastAsia"/>
        </w:rPr>
        <w:t>suggest</w:t>
      </w:r>
      <w:r>
        <w:t>ing</w:t>
      </w:r>
      <w:r w:rsidRPr="00CC31C1">
        <w:rPr>
          <w:rFonts w:hint="eastAsia"/>
        </w:rPr>
        <w:t xml:space="preserve"> that </w:t>
      </w:r>
      <w:r>
        <w:t xml:space="preserve">the </w:t>
      </w:r>
      <w:r w:rsidRPr="00CC31C1">
        <w:rPr>
          <w:rFonts w:hint="eastAsia"/>
        </w:rPr>
        <w:t xml:space="preserve">tectonic framework of the CAOB in western Inner Mongolia is characterized by </w:t>
      </w:r>
      <w:r w:rsidRPr="00CC31C1">
        <w:t xml:space="preserve">an </w:t>
      </w:r>
      <w:r w:rsidRPr="004046D2">
        <w:rPr>
          <w:rFonts w:hint="eastAsia"/>
        </w:rPr>
        <w:t>accretion</w:t>
      </w:r>
      <w:r>
        <w:rPr>
          <w:rFonts w:hint="eastAsia"/>
          <w:color w:val="FF0000"/>
        </w:rPr>
        <w:t xml:space="preserve"> </w:t>
      </w:r>
      <w:r w:rsidRPr="00CC31C1">
        <w:rPr>
          <w:rFonts w:hint="eastAsia"/>
        </w:rPr>
        <w:t>of differe</w:t>
      </w:r>
      <w:r>
        <w:rPr>
          <w:rFonts w:hint="eastAsia"/>
        </w:rPr>
        <w:t xml:space="preserve">nt blocks and </w:t>
      </w:r>
      <w:proofErr w:type="spellStart"/>
      <w:r>
        <w:rPr>
          <w:rFonts w:hint="eastAsia"/>
        </w:rPr>
        <w:t>orogenic</w:t>
      </w:r>
      <w:proofErr w:type="spellEnd"/>
      <w:r>
        <w:rPr>
          <w:rFonts w:hint="eastAsia"/>
        </w:rPr>
        <w:t xml:space="preserve"> belts. </w:t>
      </w:r>
      <w:r>
        <w:t>A</w:t>
      </w:r>
      <w:r>
        <w:rPr>
          <w:rFonts w:hint="eastAsia"/>
        </w:rPr>
        <w:t>n</w:t>
      </w:r>
      <w:r>
        <w:t xml:space="preserve"> obvious northward sequence has been </w:t>
      </w:r>
      <w:r w:rsidRPr="00CC31C1">
        <w:t>well defined</w:t>
      </w:r>
      <w:r w:rsidRPr="00CC31C1">
        <w:rPr>
          <w:rFonts w:hint="eastAsia"/>
        </w:rPr>
        <w:t xml:space="preserve"> </w:t>
      </w:r>
      <w:r w:rsidRPr="00CC31C1">
        <w:t>in t</w:t>
      </w:r>
      <w:r w:rsidRPr="00CC31C1">
        <w:rPr>
          <w:rFonts w:hint="eastAsia"/>
        </w:rPr>
        <w:t>he SOB</w:t>
      </w:r>
      <w:r>
        <w:t xml:space="preserve"> including</w:t>
      </w:r>
      <w:r w:rsidRPr="00CC31C1">
        <w:t>,</w:t>
      </w:r>
      <w:r w:rsidRPr="00CC31C1">
        <w:rPr>
          <w:rFonts w:hint="eastAsia"/>
        </w:rPr>
        <w:t xml:space="preserve"> from north to south</w:t>
      </w:r>
      <w:r>
        <w:t>:</w:t>
      </w:r>
      <w:r w:rsidRPr="00CC31C1">
        <w:rPr>
          <w:rFonts w:hint="eastAsia"/>
        </w:rPr>
        <w:t xml:space="preserve"> fold belt, </w:t>
      </w:r>
      <w:r w:rsidRPr="00CC31C1">
        <w:t>mélange</w:t>
      </w:r>
      <w:r w:rsidRPr="00CC31C1">
        <w:rPr>
          <w:rFonts w:hint="eastAsia"/>
        </w:rPr>
        <w:t>, arc</w:t>
      </w:r>
      <w:r w:rsidRPr="00CC31C1">
        <w:t>-</w:t>
      </w:r>
      <w:r w:rsidRPr="00CC31C1">
        <w:rPr>
          <w:rFonts w:hint="eastAsia"/>
        </w:rPr>
        <w:t xml:space="preserve">pluton belt, and </w:t>
      </w:r>
      <w:proofErr w:type="spellStart"/>
      <w:r w:rsidRPr="00AB0D84">
        <w:rPr>
          <w:rFonts w:hint="eastAsia"/>
        </w:rPr>
        <w:t>retroarc</w:t>
      </w:r>
      <w:proofErr w:type="spellEnd"/>
      <w:r w:rsidRPr="00CC31C1">
        <w:rPr>
          <w:rFonts w:hint="eastAsia"/>
        </w:rPr>
        <w:t xml:space="preserve"> foreland basin, representing a south</w:t>
      </w:r>
      <w:r>
        <w:t>ern</w:t>
      </w:r>
      <w:r w:rsidRPr="00CC31C1">
        <w:rPr>
          <w:rFonts w:hint="eastAsia"/>
        </w:rPr>
        <w:t xml:space="preserve"> </w:t>
      </w:r>
      <w:proofErr w:type="spellStart"/>
      <w:r w:rsidRPr="00CC31C1">
        <w:rPr>
          <w:rFonts w:hint="eastAsia"/>
        </w:rPr>
        <w:t>subduction</w:t>
      </w:r>
      <w:proofErr w:type="spellEnd"/>
      <w:r w:rsidRPr="00CC31C1">
        <w:rPr>
          <w:rFonts w:hint="eastAsia"/>
        </w:rPr>
        <w:t>-collis</w:t>
      </w:r>
      <w:r>
        <w:rPr>
          <w:rFonts w:hint="eastAsia"/>
        </w:rPr>
        <w:t>i</w:t>
      </w:r>
      <w:r w:rsidRPr="00CC31C1">
        <w:rPr>
          <w:rFonts w:hint="eastAsia"/>
        </w:rPr>
        <w:t xml:space="preserve">on system between the NCC and </w:t>
      </w:r>
      <w:r>
        <w:rPr>
          <w:rFonts w:hint="eastAsia"/>
        </w:rPr>
        <w:t>HB</w:t>
      </w:r>
      <w:r w:rsidRPr="00CC31C1">
        <w:rPr>
          <w:rFonts w:hint="eastAsia"/>
        </w:rPr>
        <w:t xml:space="preserve"> blocks during 500-440 Ma. The NOB consists </w:t>
      </w:r>
      <w:r w:rsidRPr="00CC31C1">
        <w:t xml:space="preserve">also </w:t>
      </w:r>
      <w:r w:rsidRPr="00CC31C1">
        <w:rPr>
          <w:rFonts w:hint="eastAsia"/>
        </w:rPr>
        <w:t>of four units</w:t>
      </w:r>
      <w:r>
        <w:rPr>
          <w:rFonts w:hint="eastAsia"/>
        </w:rPr>
        <w:t>:</w:t>
      </w:r>
      <w:r w:rsidRPr="00CC31C1">
        <w:rPr>
          <w:rFonts w:hint="eastAsia"/>
        </w:rPr>
        <w:t xml:space="preserve"> arc</w:t>
      </w:r>
      <w:r w:rsidRPr="00CC31C1">
        <w:t>-</w:t>
      </w:r>
      <w:r w:rsidRPr="00CC31C1">
        <w:rPr>
          <w:rFonts w:hint="eastAsia"/>
        </w:rPr>
        <w:t xml:space="preserve">pluton belt, </w:t>
      </w:r>
      <w:r w:rsidRPr="00CC31C1">
        <w:t>mélange</w:t>
      </w:r>
      <w:r>
        <w:t>,</w:t>
      </w:r>
      <w:r w:rsidRPr="00CC31C1">
        <w:rPr>
          <w:rFonts w:hint="eastAsia"/>
        </w:rPr>
        <w:t xml:space="preserve"> foreland </w:t>
      </w:r>
      <w:proofErr w:type="spellStart"/>
      <w:r w:rsidRPr="00CC31C1">
        <w:t>molasse</w:t>
      </w:r>
      <w:proofErr w:type="spellEnd"/>
      <w:r w:rsidRPr="00CC31C1">
        <w:t xml:space="preserve"> </w:t>
      </w:r>
      <w:r w:rsidRPr="00CC31C1">
        <w:rPr>
          <w:rFonts w:hint="eastAsia"/>
        </w:rPr>
        <w:t>basin</w:t>
      </w:r>
      <w:r>
        <w:t>,</w:t>
      </w:r>
      <w:r w:rsidRPr="00CC31C1">
        <w:rPr>
          <w:rFonts w:hint="eastAsia"/>
        </w:rPr>
        <w:t xml:space="preserve"> and fold belt, from north to south, representing a north</w:t>
      </w:r>
      <w:r>
        <w:t>ern</w:t>
      </w:r>
      <w:r w:rsidRPr="00CC31C1">
        <w:rPr>
          <w:rFonts w:hint="eastAsia"/>
        </w:rPr>
        <w:t xml:space="preserve"> </w:t>
      </w:r>
      <w:proofErr w:type="spellStart"/>
      <w:r w:rsidRPr="00CC31C1">
        <w:rPr>
          <w:rFonts w:hint="eastAsia"/>
        </w:rPr>
        <w:t>subduction</w:t>
      </w:r>
      <w:proofErr w:type="spellEnd"/>
      <w:r w:rsidRPr="00CC31C1">
        <w:rPr>
          <w:rFonts w:hint="eastAsia"/>
        </w:rPr>
        <w:t>-collis</w:t>
      </w:r>
      <w:r>
        <w:rPr>
          <w:rFonts w:hint="eastAsia"/>
        </w:rPr>
        <w:t>i</w:t>
      </w:r>
      <w:r w:rsidRPr="00CC31C1">
        <w:rPr>
          <w:rFonts w:hint="eastAsia"/>
        </w:rPr>
        <w:t xml:space="preserve">on system between the </w:t>
      </w:r>
      <w:r>
        <w:rPr>
          <w:rFonts w:hint="eastAsia"/>
        </w:rPr>
        <w:t>HB</w:t>
      </w:r>
      <w:r w:rsidRPr="00CC31C1">
        <w:rPr>
          <w:rFonts w:hint="eastAsia"/>
        </w:rPr>
        <w:t xml:space="preserve"> and SMM blocks during 500-380 Ma. A </w:t>
      </w:r>
      <w:r>
        <w:rPr>
          <w:rFonts w:hint="eastAsia"/>
        </w:rPr>
        <w:t>convergent</w:t>
      </w:r>
      <w:r w:rsidRPr="00CC31C1">
        <w:rPr>
          <w:rFonts w:hint="eastAsia"/>
        </w:rPr>
        <w:t xml:space="preserve"> </w:t>
      </w:r>
      <w:proofErr w:type="spellStart"/>
      <w:r w:rsidRPr="00CC31C1">
        <w:rPr>
          <w:rFonts w:hint="eastAsia"/>
        </w:rPr>
        <w:t>orogenic</w:t>
      </w:r>
      <w:proofErr w:type="spellEnd"/>
      <w:r w:rsidRPr="00CC31C1">
        <w:rPr>
          <w:rFonts w:hint="eastAsia"/>
        </w:rPr>
        <w:t xml:space="preserve"> </w:t>
      </w:r>
      <w:r>
        <w:rPr>
          <w:rFonts w:hint="eastAsia"/>
        </w:rPr>
        <w:t>system, composed of the NOB and SOB</w:t>
      </w:r>
      <w:r>
        <w:t>,</w:t>
      </w:r>
      <w:r>
        <w:rPr>
          <w:rFonts w:hint="eastAsia"/>
        </w:rPr>
        <w:t xml:space="preserve"> constrained</w:t>
      </w:r>
      <w:r w:rsidRPr="00CC31C1">
        <w:rPr>
          <w:rFonts w:hint="eastAsia"/>
        </w:rPr>
        <w:t xml:space="preserve"> the closure </w:t>
      </w:r>
      <w:r w:rsidRPr="00CC31C1">
        <w:t xml:space="preserve">process </w:t>
      </w:r>
      <w:r w:rsidRPr="00C03112">
        <w:t xml:space="preserve">of </w:t>
      </w:r>
      <w:r w:rsidRPr="00C03112">
        <w:rPr>
          <w:rFonts w:hint="eastAsia"/>
        </w:rPr>
        <w:t xml:space="preserve">the </w:t>
      </w:r>
      <w:proofErr w:type="spellStart"/>
      <w:r w:rsidRPr="00C03112">
        <w:rPr>
          <w:rFonts w:hint="eastAsia"/>
        </w:rPr>
        <w:t>Paleo</w:t>
      </w:r>
      <w:proofErr w:type="spellEnd"/>
      <w:r w:rsidRPr="00C03112">
        <w:rPr>
          <w:rFonts w:hint="eastAsia"/>
        </w:rPr>
        <w:t xml:space="preserve">-Asian Ocean in western Inner Mongolia during the Early to Middle Paleozoic, implying </w:t>
      </w:r>
      <w:r w:rsidRPr="00C03112">
        <w:rPr>
          <w:rFonts w:hint="eastAsia"/>
          <w:szCs w:val="21"/>
        </w:rPr>
        <w:t xml:space="preserve">that </w:t>
      </w:r>
      <w:r>
        <w:rPr>
          <w:rFonts w:hint="eastAsia"/>
          <w:szCs w:val="21"/>
        </w:rPr>
        <w:t>ocean</w:t>
      </w:r>
      <w:r>
        <w:rPr>
          <w:szCs w:val="21"/>
        </w:rPr>
        <w:t>ic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lithosphere has </w:t>
      </w:r>
      <w:r>
        <w:rPr>
          <w:rFonts w:hint="eastAsia"/>
          <w:szCs w:val="21"/>
        </w:rPr>
        <w:t>not exist</w:t>
      </w:r>
      <w:r>
        <w:rPr>
          <w:szCs w:val="21"/>
        </w:rPr>
        <w:t>ed</w:t>
      </w:r>
      <w:r>
        <w:rPr>
          <w:rFonts w:hint="eastAsia"/>
          <w:szCs w:val="21"/>
        </w:rPr>
        <w:t xml:space="preserve"> between the NCC, HB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and SMM </w:t>
      </w:r>
      <w:r>
        <w:rPr>
          <w:szCs w:val="21"/>
        </w:rPr>
        <w:t>since</w:t>
      </w:r>
      <w:r>
        <w:rPr>
          <w:rFonts w:hint="eastAsia"/>
          <w:szCs w:val="21"/>
        </w:rPr>
        <w:t xml:space="preserve"> the </w:t>
      </w:r>
      <w:r>
        <w:rPr>
          <w:szCs w:val="21"/>
        </w:rPr>
        <w:t>L</w:t>
      </w:r>
      <w:r>
        <w:rPr>
          <w:rFonts w:hint="eastAsia"/>
          <w:szCs w:val="21"/>
        </w:rPr>
        <w:t>ate Devonian</w:t>
      </w:r>
      <w:r>
        <w:rPr>
          <w:rFonts w:hint="eastAsia"/>
        </w:rPr>
        <w:t xml:space="preserve"> </w:t>
      </w:r>
      <w:r w:rsidRPr="00C03112">
        <w:rPr>
          <w:rFonts w:hint="eastAsia"/>
        </w:rPr>
        <w:t xml:space="preserve">and that </w:t>
      </w:r>
      <w:r>
        <w:rPr>
          <w:rFonts w:hint="eastAsia"/>
        </w:rPr>
        <w:t xml:space="preserve">two </w:t>
      </w:r>
      <w:proofErr w:type="spellStart"/>
      <w:r>
        <w:rPr>
          <w:rFonts w:hint="eastAsia"/>
        </w:rPr>
        <w:t>subduction</w:t>
      </w:r>
      <w:proofErr w:type="spellEnd"/>
      <w:r>
        <w:rPr>
          <w:rFonts w:hint="eastAsia"/>
        </w:rPr>
        <w:t xml:space="preserve">-collision </w:t>
      </w:r>
      <w:proofErr w:type="spellStart"/>
      <w:r>
        <w:rPr>
          <w:rFonts w:hint="eastAsia"/>
        </w:rPr>
        <w:t>accretional</w:t>
      </w:r>
      <w:proofErr w:type="spellEnd"/>
      <w:r>
        <w:rPr>
          <w:rFonts w:hint="eastAsia"/>
        </w:rPr>
        <w:t xml:space="preserve"> events, in the </w:t>
      </w:r>
      <w:r w:rsidRPr="00C03112">
        <w:rPr>
          <w:rFonts w:hint="eastAsia"/>
        </w:rPr>
        <w:t xml:space="preserve">south </w:t>
      </w:r>
      <w:r>
        <w:rPr>
          <w:rFonts w:hint="eastAsia"/>
        </w:rPr>
        <w:t>and then in the north</w:t>
      </w:r>
      <w:r>
        <w:t>,</w:t>
      </w:r>
      <w:r>
        <w:rPr>
          <w:rFonts w:hint="eastAsia"/>
        </w:rPr>
        <w:t xml:space="preserve"> were</w:t>
      </w:r>
      <w:r w:rsidRPr="00C03112">
        <w:rPr>
          <w:rFonts w:hint="eastAsia"/>
        </w:rPr>
        <w:t xml:space="preserve"> the domina</w:t>
      </w:r>
      <w:r>
        <w:rPr>
          <w:rFonts w:hint="eastAsia"/>
        </w:rPr>
        <w:t>n</w:t>
      </w:r>
      <w:r w:rsidRPr="00C03112">
        <w:rPr>
          <w:rFonts w:hint="eastAsia"/>
        </w:rPr>
        <w:t>t</w:t>
      </w:r>
      <w:r>
        <w:rPr>
          <w:rFonts w:hint="eastAsia"/>
        </w:rPr>
        <w:t xml:space="preserve"> geodynamic process</w:t>
      </w:r>
      <w:r>
        <w:t>es</w:t>
      </w:r>
      <w:r w:rsidRPr="00C03112">
        <w:rPr>
          <w:rFonts w:hint="eastAsia"/>
        </w:rPr>
        <w:t xml:space="preserve"> for the eastern part of the CAOB during the early to middle Paleozoic. </w:t>
      </w:r>
    </w:p>
    <w:bookmarkEnd w:id="0"/>
    <w:bookmarkEnd w:id="1"/>
    <w:p w:rsidR="00A52205" w:rsidRPr="00D22286" w:rsidRDefault="00A52205"/>
    <w:sectPr w:rsidR="00A52205" w:rsidRPr="00D22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C3" w:rsidRDefault="00325FC3" w:rsidP="00D22286">
      <w:r>
        <w:separator/>
      </w:r>
    </w:p>
  </w:endnote>
  <w:endnote w:type="continuationSeparator" w:id="0">
    <w:p w:rsidR="00325FC3" w:rsidRDefault="00325FC3" w:rsidP="00D2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C3" w:rsidRDefault="00325FC3" w:rsidP="00D22286">
      <w:r>
        <w:separator/>
      </w:r>
    </w:p>
  </w:footnote>
  <w:footnote w:type="continuationSeparator" w:id="0">
    <w:p w:rsidR="00325FC3" w:rsidRDefault="00325FC3" w:rsidP="00D22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86"/>
    <w:rsid w:val="00325FC3"/>
    <w:rsid w:val="00A52205"/>
    <w:rsid w:val="00D22286"/>
    <w:rsid w:val="00E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86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2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D22286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D222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22286"/>
    <w:rPr>
      <w:sz w:val="18"/>
      <w:szCs w:val="18"/>
    </w:rPr>
  </w:style>
  <w:style w:type="paragraph" w:styleId="NormalWeb">
    <w:name w:val="Normal (Web)"/>
    <w:basedOn w:val="Normal"/>
    <w:rsid w:val="00D22286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character" w:styleId="Lienhypertexte">
    <w:name w:val="Hyperlink"/>
    <w:basedOn w:val="Policepardfaut"/>
    <w:rsid w:val="00D22286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D22286"/>
    <w:pPr>
      <w:snapToGrid w:val="0"/>
      <w:jc w:val="left"/>
    </w:pPr>
    <w:rPr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D22286"/>
    <w:rPr>
      <w:rFonts w:ascii="Times New Roman" w:eastAsia="SimSun" w:hAnsi="Times New Roman" w:cs="Times New Roman"/>
      <w:sz w:val="18"/>
      <w:szCs w:val="18"/>
    </w:rPr>
  </w:style>
  <w:style w:type="character" w:styleId="Appelnotedebasdep">
    <w:name w:val="footnote reference"/>
    <w:basedOn w:val="Policepardfaut"/>
    <w:semiHidden/>
    <w:rsid w:val="00D22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86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2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D22286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D222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22286"/>
    <w:rPr>
      <w:sz w:val="18"/>
      <w:szCs w:val="18"/>
    </w:rPr>
  </w:style>
  <w:style w:type="paragraph" w:styleId="NormalWeb">
    <w:name w:val="Normal (Web)"/>
    <w:basedOn w:val="Normal"/>
    <w:rsid w:val="00D22286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character" w:styleId="Lienhypertexte">
    <w:name w:val="Hyperlink"/>
    <w:basedOn w:val="Policepardfaut"/>
    <w:rsid w:val="00D22286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D22286"/>
    <w:pPr>
      <w:snapToGrid w:val="0"/>
      <w:jc w:val="left"/>
    </w:pPr>
    <w:rPr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D22286"/>
    <w:rPr>
      <w:rFonts w:ascii="Times New Roman" w:eastAsia="SimSun" w:hAnsi="Times New Roman" w:cs="Times New Roman"/>
      <w:sz w:val="18"/>
      <w:szCs w:val="18"/>
    </w:rPr>
  </w:style>
  <w:style w:type="character" w:styleId="Appelnotedebasdep">
    <w:name w:val="footnote reference"/>
    <w:basedOn w:val="Policepardfaut"/>
    <w:semiHidden/>
    <w:rsid w:val="00D22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Nathalie Pothier</cp:lastModifiedBy>
  <cp:revision>2</cp:revision>
  <dcterms:created xsi:type="dcterms:W3CDTF">2012-11-08T08:57:00Z</dcterms:created>
  <dcterms:modified xsi:type="dcterms:W3CDTF">2012-11-08T08:57:00Z</dcterms:modified>
</cp:coreProperties>
</file>